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Lines="0" w:afterLines="0"/>
        <w:jc w:val="center"/>
        <w:outlineLvl w:val="0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ПРАВИТЕЛЬСТВО ХАНТЫ-МАНСИЙСКОГО АВТОНОМНОГО ОКРУГА - ЮГРЫ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ПОСТАНОВЛЕНИЕ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от 29 декабря 2020 г. N 632-п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 ТЕРРИТОРИАЛЬНОЙ ПРОГРАММЕ ГОСУДАРСТВЕННЫХ ГАРАНТИЙ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БЕСПЛАТНОГО ОКАЗАНИЯ ГРАЖДАНАМ МЕДИЦИНСКОЙ ПОМОЩИ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В ХАНТЫ-МАНСИЙСКОМ АВТОНОМНОМ ОКРУГЕ - ЮГРЕ НА 2021 ГОД И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НА ПЛАНОВЫЙ ПЕРИОД 2022 И 2023 ГОДОВ</w:t>
      </w: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В соответствии со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consultantplus://offline/ref=36CA916CB709F61B9D11774D0A6DA18BDEBEC2C5136531CB23C99B7751372FC1F160E58C557BCFF816AF170DC6C5379B69AE2C09826748EE3Ev4D \o "Федеральный закон от 21.11.2011 N 323-ФЗ (ред. от 22.12.2020) \"Об основах охраны здоровья граждан в Российской Федерации\" (с изм. и доп., вступ. в силу с 01.01.2021)</w:instrText>
      </w:r>
      <w:r>
        <w:rPr>
          <w:rFonts w:hint="default"/>
          <w:sz w:val="20"/>
          <w:szCs w:val="24"/>
        </w:rPr>
        <w:br w:type="textWrapping"/>
      </w:r>
      <w:r>
        <w:rPr>
          <w:rFonts w:hint="default"/>
          <w:sz w:val="20"/>
          <w:szCs w:val="24"/>
        </w:rPr>
        <w:instrText xml:space="preserve">{КонсультантПлюс}"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статьей 81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Федерального закона от 21 ноября 2011 года N 323-ФЗ "Об основах охраны здоровья граждан в Российской Федерации",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consultantplus://offline/ref=36CA916CB709F61B9D11775B0901F684DBB09AC811673A957C9F9D200E672994B120E3D9163FCAFA14A4435D8A9B6ECB2EE521099F7B48EDFB90A51137v4D \o "Закон ХМАО - Югры от 26.06.2012 N 86-оз (ред. от 30.10.2020) \"О регулировании отдельных вопросов в сфере охраны здоровья граждан в Ханты-Мансийском автономном округе - Югре\" (принят Думой Ханты-Мансийского автономного округа - Югры 26.06.2012)</w:instrText>
      </w:r>
      <w:r>
        <w:rPr>
          <w:rFonts w:hint="default"/>
          <w:sz w:val="20"/>
          <w:szCs w:val="24"/>
        </w:rPr>
        <w:br w:type="textWrapping"/>
      </w:r>
      <w:r>
        <w:rPr>
          <w:rFonts w:hint="default"/>
          <w:sz w:val="20"/>
          <w:szCs w:val="24"/>
        </w:rPr>
        <w:instrText xml:space="preserve">{КонсультантПлюс}"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статьей 3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Закона Ханты-Мансийского автономного округа - Югры от 26 июня 2012 года N 86-оз "О регулировании отдельных вопросов в сфере охраны здоровья граждан в Ханты-Мансийском автономном округе - Югре", учитывая решение Общественного совета при Департаменте здравоохранения Ханты-Мансийского автономного округа - Югры (протокол заседания от 22 декабря 2020 года N 19), в целях обеспечения конституционных прав граждан Российской Федерации на получение бесплатной медицинской помощи в Ханты-Мансийском автономном округе - Югре Правительство Ханты-Мансийского автономного округа - Югры постановляет: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1. Утвердить прилагаемую Территориальную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\l Par30  \o "ТЕРРИТОРИАЛЬНАЯ ПРОГРАММА"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программу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государственных гарантий бесплатного оказания гражданам медицинской помощи в Ханты-Мансийском автономном округе - Югре на 2021 год и на плановый период 2022 и 2023 годов.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2. Настоящее постановление вступает в силу с 1 января 2021 года.</w:t>
      </w: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Губернатор</w:t>
      </w:r>
    </w:p>
    <w:p>
      <w:pPr>
        <w:pStyle w:val="5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Ханты-Мансийского</w:t>
      </w:r>
    </w:p>
    <w:p>
      <w:pPr>
        <w:pStyle w:val="5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автономного округа - Югры</w:t>
      </w:r>
    </w:p>
    <w:p>
      <w:pPr>
        <w:pStyle w:val="5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Н.В.КОМАРОВА</w:t>
      </w: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jc w:val="right"/>
        <w:outlineLvl w:val="0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Приложение</w:t>
      </w:r>
    </w:p>
    <w:p>
      <w:pPr>
        <w:pStyle w:val="5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к постановлению Правительства</w:t>
      </w:r>
    </w:p>
    <w:p>
      <w:pPr>
        <w:pStyle w:val="5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Ханты-Мансийского</w:t>
      </w:r>
    </w:p>
    <w:p>
      <w:pPr>
        <w:pStyle w:val="5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автономного округа - Югры</w:t>
      </w:r>
    </w:p>
    <w:p>
      <w:pPr>
        <w:pStyle w:val="5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от 29 декабря 2020 года N 632-п</w:t>
      </w: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bookmarkStart w:id="0" w:name="Par30"/>
      <w:bookmarkEnd w:id="0"/>
      <w:r>
        <w:rPr>
          <w:rFonts w:hint="default"/>
          <w:sz w:val="20"/>
          <w:szCs w:val="24"/>
        </w:rPr>
        <w:t>ТЕРРИТОРИАЛЬНАЯ ПРОГРАММА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ГОСУДАРСТВЕННЫХ ГАРАНТИЙ БЕСПЛАТНОГО ОКАЗАНИЯ ГРАЖДАНАМ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МЕДИЦИНСКОЙ ПОМОЩИ В ХАНТЫ-МАНСИЙСКОМ АВТОНОМНОМ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ОКРУГЕ - ЮГРЕ НА 2021 ГОД И НА ПЛАНОВЫЙ ПЕРИОД 2022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И 2023 ГОДОВ</w:t>
      </w:r>
    </w:p>
    <w:p>
      <w:pPr>
        <w:pStyle w:val="4"/>
        <w:spacing w:beforeLines="0" w:afterLines="0"/>
        <w:jc w:val="center"/>
        <w:outlineLvl w:val="1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VIII. Условия пребывания в медицинских организациях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при оказании медицинской помощи в стационарных условиях,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включая предоставление спального места и питания,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при совместном нахождении одного из родителей, иного члена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семьи или иного законного представителя в медицинской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организации в стационарных условиях с ребенком до достижения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им возраста 4 лет, а с ребенком старше указанного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возраста - при наличии медицинских показаний</w:t>
      </w: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8.1. Пациенты размещаются в палатах от 2 и более мест в соответствии с утвержденными санитарно-эпидемиологическими требованиями к организациям, осуществляющим медицинскую деятельность.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8.2. В соответствии со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consultantplus://offline/ref=36CA916CB709F61B9D11774D0A6DA18BDEBEC2C5136531CB23C99B7751372FC1F160E58C557BC7FC14AF170DC6C5379B69AE2C09826748EE3Ev4D \o "Федеральный закон от 21.11.2011 N 323-ФЗ (ред. от 22.12.2020) \"Об основах охраны здоровья граждан в Российской Федерации\" (с изм. и доп., вступ. в силу с 01.01.2021)</w:instrText>
      </w:r>
      <w:r>
        <w:rPr>
          <w:rFonts w:hint="default"/>
          <w:sz w:val="20"/>
          <w:szCs w:val="24"/>
        </w:rPr>
        <w:br w:type="textWrapping"/>
      </w:r>
      <w:r>
        <w:rPr>
          <w:rFonts w:hint="default"/>
          <w:sz w:val="20"/>
          <w:szCs w:val="24"/>
        </w:rPr>
        <w:instrText xml:space="preserve">{КонсультантПлюс}"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статьями 7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,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consultantplus://offline/ref=36CA916CB709F61B9D11774D0A6DA18BDEBEC2C5136531CB23C99B7751372FC1F160E58C557BC2F816AF170DC6C5379B69AE2C09826748EE3Ev4D \o "Федеральный закон от 21.11.2011 N 323-ФЗ (ред. от 22.12.2020) \"Об основах охраны здоровья граждан в Российской Федерации\" (с изм. и доп., вступ. в силу с 01.01.2021)</w:instrText>
      </w:r>
      <w:r>
        <w:rPr>
          <w:rFonts w:hint="default"/>
          <w:sz w:val="20"/>
          <w:szCs w:val="24"/>
        </w:rPr>
        <w:br w:type="textWrapping"/>
      </w:r>
      <w:r>
        <w:rPr>
          <w:rFonts w:hint="default"/>
          <w:sz w:val="20"/>
          <w:szCs w:val="24"/>
        </w:rPr>
        <w:instrText xml:space="preserve">{КонсультантПлюс}"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51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Федерального закона N 323-ФЗ при оказании медицинской помощи детям в стационарных условиях одному из родителей, иному члену семьи или иному законному представителю предоставляется право на бесплатное совместное нахождение (без обеспечения питания и койко-места) с ребенком в медицинской организации при оказании ему медицинской помощи в стационарных условиях в течение всего периода лечения независимо от его возраста.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8.3. Одному из родителей или иному члену семьи, или иному законному представителю предоставляется право на совместное пребывание в медицинской организации в стационарных условиях вместе с больным ребенком (с предоставлением спального места в одной палате с ребенком и обеспечением питанием):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8.3.1. С ребенком-инвалидом - независимо от наличия медицинских показаний.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8.3.2. С ребенком до достижения им возраста 4 лет - независимо от наличия медицинских показаний.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8.3.3. С ребенком старше 4 лет - при наличии медицинских показаний.</w:t>
      </w: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4"/>
        <w:spacing w:beforeLines="0" w:afterLines="0"/>
        <w:jc w:val="center"/>
        <w:outlineLvl w:val="1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IX. Условия размещения пациентов в маломестных палатах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(боксах) по медицинским и (или) эпидемиологическим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показаниям, установленным Министерством здравоохранения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Российской Федерации</w:t>
      </w: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Пациенты размещаются в маломестных палатах (боксах) (с числом мест не более 2) при наличии медицинских и (или) эпидемиологических показаний, утвержденных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consultantplus://offline/ref=36CA916CB709F61B9D11774D0A6DA18BDCB8C5C5166331CB23C99B7751372FC1E360BD805478D9FB15BA415C8039v1D \o "Приказ Минздравсоцразвития России от 15.05.2012 N 535н \"Об утверждении перечня медицинских и эпидемиологических показаний к размещению пациентов в маломестных палатах (боксах)\" (Зарегистрировано в Минюсте России 07.06.2012 N 24475)</w:instrText>
      </w:r>
      <w:r>
        <w:rPr>
          <w:rFonts w:hint="default"/>
          <w:sz w:val="20"/>
          <w:szCs w:val="24"/>
        </w:rPr>
        <w:br w:type="textWrapping"/>
      </w:r>
      <w:r>
        <w:rPr>
          <w:rFonts w:hint="default"/>
          <w:sz w:val="20"/>
          <w:szCs w:val="24"/>
        </w:rPr>
        <w:instrText xml:space="preserve">{КонсультантПлюс}"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приказом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Министерства здравоохранения и социального развития Российской Федерации от 15 мая 2012 года N 535н "Об утверждении перечня медицинских и эпидемиологических показаний к размещению пациентов в маломестных палатах (боксах)".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Совместное размещение пациентов допускается с учетом имеющихся нозологических форм (заболеваний), пола и тяжести состояния пациента.</w:t>
      </w: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4"/>
        <w:spacing w:beforeLines="0" w:afterLines="0"/>
        <w:jc w:val="center"/>
        <w:outlineLvl w:val="1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X. Порядок предоставления транспортных услуг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при сопровождении медицинским работником пациента,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находящегося на лечении в стационарных условиях</w:t>
      </w: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10.1. В целях соблюдения порядков оказания медицинской помощи и стандартов медицинской помощи, утвержденных Министерством здравоохранения Российской Федерации (далее - Минздрав России), в случае необходимости проведения пациенту диагностических исследований (при отсутствии возможности их проведения медицинской организацией, оказывающей медицинскую помощь пациенту) оказываются транспортные услуги: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10.1.1. Санитарным транспортом медицинской организации, в которой отсутствуют необходимые диагностические возможности, с сопровождением медицинским работником.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10.1.2. Транспортом службы (подразделения) скорой (неотложной) медицинской помощи, оснащенным специальным медицинским оборудованием, аппаратурой слежения, с сопровождением его медицинским работником, обученным оказанию скорой (неотложной) медицинской помощи.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10.2. При невозможности проведения требующихся специальных методов диагностики и лечения в медицинской организации, куда был госпитализирован пациент после стабилизации его состояния, в максимально короткий срок его переводят в ту медицинскую организацию, где необходимые медицинские услуги могут быть проведены в полном объеме. Госпитализация пациента в стационар, перевод из одной медицинской организации в другую осуществляются в соответствии с порядками оказания медицинской помощи по соответствующему профилю (медицинская эвакуация).</w:t>
      </w: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4"/>
        <w:spacing w:beforeLines="0" w:afterLines="0"/>
        <w:jc w:val="center"/>
        <w:outlineLvl w:val="2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X.I. Порядок оказания медицинской помощи методом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заместительной почечной терапии пациентам, страдающим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хронической почечной недостаточностью</w:t>
      </w: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10.1.1.1. Гражданам, страдающим хронической почечной недостаточностью, проживающим в автономном округе (далее - пациенты), медицинская помощь методом заместительной почечной терапии (далее - гемодиализ) оказывается в медицинских организациях, в структуру которых входят подразделения (центры, отделения) гемодиализа либо которые являются специализированными диализными центрами (далее - медицинские организации).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10.1.1.2. Услуги гемодиализа в медицинских организациях предоставляются в условиях дневного стационара, а при наличии показаний для круглосуточного врачебного наблюдения - в условиях стационара круглосуточного пребывания.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10.1.1.3. Пациенты, получающие услуги гемодиализа в медицинских организациях, находящихся вне населенных пунктов автономного округа, в которых эти пациенты постоянно проживают, имеют право на получение мер социальной поддержки в виде частичного возмещения стоимости проезда от места их проживания до места получения услуг гемодиализа и обратно в соответствии с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consultantplus://offline/ref=36CA916CB709F61B9D11775B0901F684DBB09AC81167399B769E9D200E672994B120E3D9043F92F615A75D5C838E389A683Bv1D \o "Закон ХМАО - Югры от 07.11.2006 N 115-оз (ред. от 25.12.2020) \"О мерах социальной поддержки отдельных категорий граждан в Ханты-Мансийском автономном округе - Югре\" (принят Думой Ханты-Мансийского автономного округа - Югры 20.10.2006)</w:instrText>
      </w:r>
      <w:r>
        <w:rPr>
          <w:rFonts w:hint="default"/>
          <w:sz w:val="20"/>
          <w:szCs w:val="24"/>
        </w:rPr>
        <w:br w:type="textWrapping"/>
      </w:r>
      <w:r>
        <w:rPr>
          <w:rFonts w:hint="default"/>
          <w:sz w:val="20"/>
          <w:szCs w:val="24"/>
        </w:rPr>
        <w:instrText xml:space="preserve">{КонсультантПлюс}"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Законом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автономного округа от 7 ноября 2006 года N 115-оз "О мерах социальной поддержки отдельных категорий граждан в Ханты-Мансийском автономном округе - Югре" и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consultantplus://offline/ref=36CA916CB709F61B9D11775B0901F684DBB09AC81266399F779E9D200E672994B120E3D9043F92F615A75D5C838E389A683Bv1D \o "Постановление Правительства ХМАО - Югры от 25.02.2010 N 77-п (ред. от 27.05.2016) \"Об утверждении Положения о порядке и условиях предоставления гражданам частичного возмещения расходов по оплате проезда по территории Ханты-Мансийского автономного округа - Югры к месту получения программного гемодиализа и обратно\"</w:instrText>
      </w:r>
      <w:r>
        <w:rPr>
          <w:rFonts w:hint="default"/>
          <w:sz w:val="20"/>
          <w:szCs w:val="24"/>
        </w:rPr>
        <w:br w:type="textWrapping"/>
      </w:r>
      <w:r>
        <w:rPr>
          <w:rFonts w:hint="default"/>
          <w:sz w:val="20"/>
          <w:szCs w:val="24"/>
        </w:rPr>
        <w:instrText xml:space="preserve">{КонсультантПлюс}"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постановлением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Правительства автономного округа от 25 февраля 2010 года N 77-п "Об утверждении Положения о порядке и условиях предоставления гражданам частичного возмещения расходов по оплате проезда по территории Ханты-Мансийского автономного округа - Югры к месту получения программного гемодиализа и обратно".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10.1.1.4. Пациенты, постоянно проживающие в отдаленных и (или) труднодоступных местностях автономного округа, при отсутствии постоянного автомагистрального сообщения с твердым дорожным покрытием с ближайшим по отношению к таким местностям населенным пунктом, в котором находится медицинская организация, оказывающая медицинскую помощь методом гемодиализа, вправе проходить процедуру гемодиализа в бюджетном учреждении автономного округа "Окружная клиническая больница" (далее - больница) с проживанием в пансионате больницы на условиях, определенных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consultantplus://offline/ref=36CA916CB709F61B9D11775B0901F684DBB09AC815673D9A7A96C02A063E2596B62FBCDC112ECAFA17BA435D9C923A9836vBD \o "Постановление Правительства ХМАО - Югры от 16.10.2010 N 257-п \"Об установлении расходных обязательств Ханты-Мансийского автономного округа - Югры\"</w:instrText>
      </w:r>
      <w:r>
        <w:rPr>
          <w:rFonts w:hint="default"/>
          <w:sz w:val="20"/>
          <w:szCs w:val="24"/>
        </w:rPr>
        <w:br w:type="textWrapping"/>
      </w:r>
      <w:r>
        <w:rPr>
          <w:rFonts w:hint="default"/>
          <w:sz w:val="20"/>
          <w:szCs w:val="24"/>
        </w:rPr>
        <w:instrText xml:space="preserve">{КонсультантПлюс}"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постановлением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Правительства автономного округа от 16 октября 2010 года N 257-п "Об установлении расходных обязательств Ханты-Мансийского автономного округа - Югры".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10.1.1.5. При возникновении острых патологических состояний и/или осложнений основного заболевания или сопутствующих заболеваний, когда состояние пациента требует оказания экстренной и неотложной медицинской помощи, он подлежит медицинской эвакуации к месту проведения гемодиализа в установленном законодательством порядке.</w:t>
      </w: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4"/>
        <w:spacing w:beforeLines="0" w:afterLines="0"/>
        <w:jc w:val="center"/>
        <w:outlineLvl w:val="1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XI. Условия и сроки диспансеризации населения для отдельных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категорий населения, профилактических осмотров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несовершеннолетних</w:t>
      </w: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11.1. Диспансеризация населения представляет собой комплекс мероприятий, осуществляемых в отношении определенных групп населения в соответствии с законодательством Российской Федерации.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11.2. Диспансеризации подлежат следующие категории граждан: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от 18 лет и старше: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работающие граждане,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неработающие граждане,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обучающиеся в общеобразовательных организациях по очной форме;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от 0 до 18 лет: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диспансеризация детей проводится на основании действующих приказов Минздрава России: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от 15 февраля 2013 года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consultantplus://offline/ref=36CA916CB709F61B9D11774D0A6DA18BDEBCC4C5146231CB23C99B7751372FC1E360BD805478D9FB15BA415C8039v1D \o "Приказ Минздрава России от 15.02.2013 N 72н (ред. от 19.11.2020) \"О проведении диспансеризации пребывающих в стационарных учреждениях детей-сирот и детей, находящихся в трудной жизненной ситуации\" (вместе с \"Порядком проведения диспансеризации пребывающих в стационарных учреждениях детей-сирот и детей, находящихся в трудной жизненной ситуации\") (Зарегистрировано в Минюсте России 02.04.2013 N 27964)</w:instrText>
      </w:r>
      <w:r>
        <w:rPr>
          <w:rFonts w:hint="default"/>
          <w:sz w:val="20"/>
          <w:szCs w:val="24"/>
        </w:rPr>
        <w:br w:type="textWrapping"/>
      </w:r>
      <w:r>
        <w:rPr>
          <w:rFonts w:hint="default"/>
          <w:sz w:val="20"/>
          <w:szCs w:val="24"/>
        </w:rPr>
        <w:instrText xml:space="preserve">{КонсультантПлюс}"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N 72н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от 11 апреля 2013 года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consultantplus://offline/ref=36CA916CB709F61B9D11774D0A6DA18BDEBCC4C5146331CB23C99B7751372FC1E360BD805478D9FB15BA415C8039v1D \o "Приказ Минздрава России от 11.04.2013 N 216н (ред. от 19.11.2020) \"Об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семью\" (Зарегистрировано в Минюсте России 21.05.2013 N 28454)</w:instrText>
      </w:r>
      <w:r>
        <w:rPr>
          <w:rFonts w:hint="default"/>
          <w:sz w:val="20"/>
          <w:szCs w:val="24"/>
        </w:rPr>
        <w:br w:type="textWrapping"/>
      </w:r>
      <w:r>
        <w:rPr>
          <w:rFonts w:hint="default"/>
          <w:sz w:val="20"/>
          <w:szCs w:val="24"/>
        </w:rPr>
        <w:instrText xml:space="preserve">{КонсультантПлюс}"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N 216н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от 10 августа 2017 года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consultantplus://offline/ref=36CA916CB709F61B9D11774D0A6DA18BDEBCC4C5146031CB23C99B7751372FC1E360BD805478D9FB15BA415C8039v1D \o "Приказ Минздрава России от 10.08.2017 N 514н (ред. от 19.11.2020) \"О Порядке проведения профилактических медицинских осмотров несовершеннолетних\" (вместе с \"Порядком заполнения учетной формы N 030-ПО/у-17 \"Карта профилактического медицинского осмотра несовершеннолетнего\", \"Порядком заполнения и сроки представления формы статистической отчетности N 030-ПО/о-17 \"Сведения о профилактических медицинских осмотрах несовершеннолетних\") (Зарегистрировано в Минюсте России 18.08.2017 N 47855)</w:instrText>
      </w:r>
      <w:r>
        <w:rPr>
          <w:rFonts w:hint="default"/>
          <w:sz w:val="20"/>
          <w:szCs w:val="24"/>
        </w:rPr>
        <w:br w:type="textWrapping"/>
      </w:r>
      <w:r>
        <w:rPr>
          <w:rFonts w:hint="default"/>
          <w:sz w:val="20"/>
          <w:szCs w:val="24"/>
        </w:rPr>
        <w:instrText xml:space="preserve">{КонсультантПлюс}"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N 514н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"О Порядке проведения профилактических медицинских осмотров несовершеннолетних".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11.3. Годом прохождения диспансеризации считается календарный год, в котором гражданин достигает соответствующего возраста: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1) 1 раз в 3 года в возрасте от 18 до 39 лет включительно;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2) ежегодно в возрасте 40 лет и старше, а также в отношении отдельных категорий граждан, в соответствии с нормами действующего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consultantplus://offline/ref=36CA916CB709F61B9D11774D0A6DA18BDEBCC6C51B6031CB23C99B7751372FC1E360BD805478D9FB15BA415C8039v1D \o "Приказ Минздрава России от 13.03.2019 N 124н (ред. от 02.12.2020) \"Об утверждении порядка проведения профилактического медицинского осмотра и диспансеризации определенных групп взрослого населения\" (Зарегистрировано в Минюсте России 24.04.2019 N 54495)</w:instrText>
      </w:r>
      <w:r>
        <w:rPr>
          <w:rFonts w:hint="default"/>
          <w:sz w:val="20"/>
          <w:szCs w:val="24"/>
        </w:rPr>
        <w:br w:type="textWrapping"/>
      </w:r>
      <w:r>
        <w:rPr>
          <w:rFonts w:hint="default"/>
          <w:sz w:val="20"/>
          <w:szCs w:val="24"/>
        </w:rPr>
        <w:instrText xml:space="preserve">{КонсультантПлюс}"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приказа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Минздрава России от 13 марта 2019 года N 124н "Об утверждении порядка проведения профилактического медицинского осмотра и диспансеризации определенных групп взрослого населения".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Профилактический медицинский осмотр проводится ежегодно: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1) в качестве самостоятельного мероприятия;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2) при диспансеризации;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3) при диспансерном наблюдении (при проведении первого в текущем году диспансерного приема (осмотра, консультации)).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Категории граждан, которые проходят диспансеризацию ежегодно вне зависимости от возраста: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инвалиды Великой Отечественной войны и инвалиды боевых действий, а также 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лица, награжденные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11.4. Диспансеризация осуществляется при наличии информированного добровольного согласия гражданина или его законного представителя (в отношении лица, не достигшего возраста 15 лет, лица, признанного в установленном законом порядке недееспособным, а также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опьянения), данного с соблюдением требований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consultantplus://offline/ref=36CA916CB709F61B9D11774D0A6DA18BDEB8C5CD156C31CB23C99B7751372FC1E360BD805478D9FB15BA415C8039v1D \o "Приказ Минздрава России от 20.12.2012 N 1177н (ред. от 17.07.2019) \"Об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вмешательства\" (Зарегистрировано в Минюсте России 28.06.2013 N 28924)</w:instrText>
      </w:r>
      <w:r>
        <w:rPr>
          <w:rFonts w:hint="default"/>
          <w:sz w:val="20"/>
          <w:szCs w:val="24"/>
        </w:rPr>
        <w:br w:type="textWrapping"/>
      </w:r>
      <w:r>
        <w:rPr>
          <w:rFonts w:hint="default"/>
          <w:sz w:val="20"/>
          <w:szCs w:val="24"/>
        </w:rPr>
        <w:instrText xml:space="preserve">{КонсультантПлюс}"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приказа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Минздрава России от 20 декабря 2012 года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Гражданам гарантировано прохождение профилактических медицинских осмотров, диспансеризации, в том числе в вечерние часы и субботу.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Больные, находящиеся на диспансерном учете, подлежат динамическому наблюдению лечащим врачом медицинской организации, оказывающей первичную медико-санитарную помощь, проведение лечебных, реабилитационных и профилактических мероприятий.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При выявлении у гражданина (в том числе детей до 18 лет) в процессе диспансеризации медицинских показаний к проведению исследований, осмотров и мероприятий, не входящих в перечень исследований,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помощи.</w:t>
      </w: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4"/>
        <w:spacing w:beforeLines="0" w:afterLines="0"/>
        <w:jc w:val="center"/>
        <w:outlineLvl w:val="1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XII. Порядок реализации установленного законодательством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Российской Федерации права внеочередного оказания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медицинской помощи отдельным категориям граждан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в государственных медицинских организациях, осуществляющих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деятельность в автономном округе</w:t>
      </w: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12.1. Право на внеочередное оказание медицинской помощи в медицинских организациях предоставляется: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12.1.1. Гражданам, относящимся к категориям, предусмотренным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consultantplus://offline/ref=36CA916CB709F61B9D11774D0A6DA18BDEBCC6CD156631CB23C99B7751372FC1F160E58F5D7093AA50F14E5D818E3A9B74B22C0A39vDD \o "Федеральный закон от 12.01.1995 N 5-ФЗ (ред. от 30.12.2020) \"О ветеранах\"</w:instrText>
      </w:r>
      <w:r>
        <w:rPr>
          <w:rFonts w:hint="default"/>
          <w:sz w:val="20"/>
          <w:szCs w:val="24"/>
        </w:rPr>
        <w:br w:type="textWrapping"/>
      </w:r>
      <w:r>
        <w:rPr>
          <w:rFonts w:hint="default"/>
          <w:sz w:val="20"/>
          <w:szCs w:val="24"/>
        </w:rPr>
        <w:instrText xml:space="preserve">{КонсультантПлюс}"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статьями 14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-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consultantplus://offline/ref=36CA916CB709F61B9D11774D0A6DA18BDEBCC6CD156631CB23C99B7751372FC1F160E58C5579CCAF45E016518393249A6BAE2E089E36v4D \o "Федеральный закон от 12.01.1995 N 5-ФЗ (ред. от 30.12.2020) \"О ветеранах\"</w:instrText>
      </w:r>
      <w:r>
        <w:rPr>
          <w:rFonts w:hint="default"/>
          <w:sz w:val="20"/>
          <w:szCs w:val="24"/>
        </w:rPr>
        <w:br w:type="textWrapping"/>
      </w:r>
      <w:r>
        <w:rPr>
          <w:rFonts w:hint="default"/>
          <w:sz w:val="20"/>
          <w:szCs w:val="24"/>
        </w:rPr>
        <w:instrText xml:space="preserve">{КонсультантПлюс}"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19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,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consultantplus://offline/ref=36CA916CB709F61B9D11774D0A6DA18BDEBCC6CD156631CB23C99B7751372FC1F160E58C547FCCAF45E016518393249A6BAE2E089E36v4D \o "Федеральный закон от 12.01.1995 N 5-ФЗ (ред. от 30.12.2020) \"О ветеранах\"</w:instrText>
      </w:r>
      <w:r>
        <w:rPr>
          <w:rFonts w:hint="default"/>
          <w:sz w:val="20"/>
          <w:szCs w:val="24"/>
        </w:rPr>
        <w:br w:type="textWrapping"/>
      </w:r>
      <w:r>
        <w:rPr>
          <w:rFonts w:hint="default"/>
          <w:sz w:val="20"/>
          <w:szCs w:val="24"/>
        </w:rPr>
        <w:instrText xml:space="preserve">{КонсультантПлюс}"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21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Федерального закона от 12 января 1995 года N 5-ФЗ "О ветеранах":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инвалидам войны;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участникам Великой Отечественной войны;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ветеранам боевых действий;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военнослужащим, проходившим военную службу в воинских частях, учреждениях, военно-учебных заведениях, не входившим в состав действующей армии, в период с 22 июня 1941 года по 3 сентября 1945 года не менее 6 месяцев, военнослужащим, награжденным орденами или медалями СССР за службу в указанный период;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лицам, награжденным знаком "Жителю блокадного Ленинграда";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членам семей погибших (умерших) инвалидов войны, участников Великой Отечественной войны и ветеранов боевых действий;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награжденным знаком "Почетный донор России" в соответствии с Федеральным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consultantplus://offline/ref=36CA916CB709F61B9D11774D0A6DA18BDEBCC4C7116231CB23C99B7751372FC1E360BD805478D9FB15BA415C8039v1D \o "Федеральный закон от 20.07.2012 N 125-ФЗ (ред. от 08.12.2020) \"О донорстве крови и ее компонентов\"</w:instrText>
      </w:r>
      <w:r>
        <w:rPr>
          <w:rFonts w:hint="default"/>
          <w:sz w:val="20"/>
          <w:szCs w:val="24"/>
        </w:rPr>
        <w:br w:type="textWrapping"/>
      </w:r>
      <w:r>
        <w:rPr>
          <w:rFonts w:hint="default"/>
          <w:sz w:val="20"/>
          <w:szCs w:val="24"/>
        </w:rPr>
        <w:instrText xml:space="preserve">{КонсультантПлюс}"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законом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от 20 июля 2012 года N 125-ФЗ "О донорстве крови и ее компонентов".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12.1.2. Гражданам России, удостоенным званий Героя Советского Союза, Героя Российской Федерации и являющимся полными кавалерами ордена Славы, согласно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consultantplus://offline/ref=36CA916CB709F61B9D11774D0A6DA18BDEBCC6CD156031CB23C99B7751372FC1F160E58C557BC7FA13AF170DC6C5379B69AE2C09826748EE3Ev4D \o "Закон РФ от 15.01.1993 N 4301-1 (ред. от 30.12.2020) \"О статусе Героев Советского Союза, Героев Российской Федерации и полных кавалеров ордена Славы\"</w:instrText>
      </w:r>
      <w:r>
        <w:rPr>
          <w:rFonts w:hint="default"/>
          <w:sz w:val="20"/>
          <w:szCs w:val="24"/>
        </w:rPr>
        <w:br w:type="textWrapping"/>
      </w:r>
      <w:r>
        <w:rPr>
          <w:rFonts w:hint="default"/>
          <w:sz w:val="20"/>
          <w:szCs w:val="24"/>
        </w:rPr>
        <w:instrText xml:space="preserve">{КонсультантПлюс}"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статье 4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Закона Российской Федерации от 15 января 1993 года N 4301-1 "О статусе Героев Советского Союза, Героев Российской Федерации и полных кавалеров ордена Славы".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12.1.3. Детям-сиротам и детям, оставшимся без попечения родителей.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12.1.4. Инвалидам I и II групп.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12.2. Внеочередная медицинская помощь оказывается указанным выше категориям граждан при предъявлении удостоверения единого образца, установленного федеральным законодательством, и при наличии медицинских показаний в медицинских организациях, участвующих в реализации Программы.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Медицинские организации по месту жительства (прикрепления) граждан, имеющих право внеочередного оказания медицинской помощи, организуют учет и динамическое наблюдение за состоянием их здоровья, принимают решение о внеочередном оказании медицинской помощи в государственных медицинских организациях, осуществляя необходимые мероприятия в порядке, установленном законодательством Российской Федерации.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12.3. Комиссия Депздрава Югры по отбору пациентов для оказания специализированной, в том числе высокотехнологичной, медицинской помощи на основании представленных медицинскими организациями документов принимает решение о направлении пациентов для оказания специализированной или высокотехнологичной медицинской помощи в федеральные медицинские организации в соответствии с порядком, утвержденным Минздравом России.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Порядок оказания медицинской помощи гражданам, имеющим право внеочередного оказания медицинской помощи, в федеральных учреждениях здравоохранения утвержден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consultantplus://offline/ref=36CA916CB709F61B9D11774D0A6DA18BDEBBCCC6126431CB23C99B7751372FC1E360BD805478D9FB15BA415C8039v1D \o "Постановление Правительства РФ от 13.02.2015 N 123 (ред. от 01.10.2018) \"Об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власти\"</w:instrText>
      </w:r>
      <w:r>
        <w:rPr>
          <w:rFonts w:hint="default"/>
          <w:sz w:val="20"/>
          <w:szCs w:val="24"/>
        </w:rPr>
        <w:br w:type="textWrapping"/>
      </w:r>
      <w:r>
        <w:rPr>
          <w:rFonts w:hint="default"/>
          <w:sz w:val="20"/>
          <w:szCs w:val="24"/>
        </w:rPr>
        <w:instrText xml:space="preserve">{КонсультантПлюс}"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постановлением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Правительства Российской Федерации от 13 февраля 2015 года N 123 "Об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власти".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consultantplus://offline/ref=36CA916CB709F61B9D11774D0A6DA18BD8B8C5C0106E6CC12B909775563870D6F629E98D557BC5FB1FF01218D79D3B9974B02D169E654A3EvDD \o "Приказ Минздравсоцразвития РФ от 01.04.2005 N 249 \"Об организации внеочередного оказания медицинской помощи отдельным категориям граждан\" (вместе с \"Порядком рассмотрения врачебной комиссией федерального учреждения здравоохранения медицинских документов, представляемых органами исполнительной власти субъектов Российской Федерации в сфере здравоохранения, и осуществления очной консультации для решения вопроса о внеочередном оказании медицинской помощи\") (Зарегистрировано в Минюсте РФ 26.04.2005 N 6555)</w:instrText>
      </w:r>
      <w:r>
        <w:rPr>
          <w:rFonts w:hint="default"/>
          <w:sz w:val="20"/>
          <w:szCs w:val="24"/>
        </w:rPr>
        <w:br w:type="textWrapping"/>
      </w:r>
      <w:r>
        <w:rPr>
          <w:rFonts w:hint="default"/>
          <w:sz w:val="20"/>
          <w:szCs w:val="24"/>
        </w:rPr>
        <w:instrText xml:space="preserve">{КонсультантПлюс}"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Перечень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федеральных учреждений здравоохранения, оказывающих медицинскую помощь гражданам, имеющим право внеочередного оказания медицинской помощи, с указанием их профиля утвержден приказом Минздрава России от 1 апреля 2005 года N 249 "Об организации внеочередного оказания медицинской помощи отдельным категориям граждан".</w:t>
      </w: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4"/>
        <w:spacing w:beforeLines="0" w:afterLines="0"/>
        <w:jc w:val="center"/>
        <w:outlineLvl w:val="1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XIII. Перечень мероприятий по профилактике заболеваний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и формированию здорового образа жизни, осуществляемых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в соответствии с Программой</w:t>
      </w: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13.1. Профилактическая вакцинация населения, включая осмотры медицинскими работниками перед календарными профилактическими прививками, а также перед вакцинацией по эпидпоказаниям.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13.2. Профилактические осмотры населения, за исключением граждан, подлежащих соответствующим медосмотрам, порядок и условия которых регламентируется законодательством Российской Федерации.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13.3. Медицинское консультирование несовершеннолетних при определении профессиональной пригодности.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13.4. Профилактические и предварительные медицинские осмотры несовершеннолетних, связанные с организацией отдыха, оздоровления и занятости в каникулярное время.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13.5. Диспансерное наблюдение здоровых детей.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13.6. Диспансерное наблюдение лиц с хроническими заболеваниями, а также краткосрочная диспансеризация лиц, перенесших острые заболевания, включая отдельные категории граждан, установленные законодательством Российской Федерации.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13.7. Диспансерное наблюдение женщин в период беременности и осуществление мер по предупреждению абортов.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13.8. Индивидуальная и групповая медицинская профилактика (формирование здорового образа жизни, включая отказ от табакокурения и злоупотребления алкоголем, обучение медико-санитарным правилам по профилактике заболеваний и предотвращению их прогрессирования): проведение школ здоровья, бесед и лекций.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13.9. Дородовый и послеродовый патронаж, осуществляемый медицинскими работниками медицинских организаций.</w:t>
      </w: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4"/>
        <w:spacing w:beforeLines="0" w:afterLines="0"/>
        <w:jc w:val="center"/>
        <w:outlineLvl w:val="1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XIV. Порядок реализации установленного законодательством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Российской Федерации права на выбор врача, в том числе врача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общей практики (семейного врача) и лечащего врача (с учетом</w:t>
      </w:r>
    </w:p>
    <w:p>
      <w:pPr>
        <w:pStyle w:val="4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согласия врача), а также на выбор медицинской организации</w:t>
      </w:r>
    </w:p>
    <w:p>
      <w:pPr>
        <w:pStyle w:val="5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14.1. Первичная медико-санитарная помощь гражданам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врачами), фельдшерами, акушерами и другими медицинскими работниками со средним медицинским образованием по территориально-участковому принципу.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14.2. Для получения первичной медико-санитарной помощи гражданин вправе выбрать иную медицинскую организацию, не обслуживающую территорию проживания, не чаще чем 1 раз в год (за исключением случаев изменения места жительства или места пребывания гражданина). Выбор осуществляется из перечня медицинских организаций, участвующих в реализации Программы.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14.3. В выбранной медицинской организации гражданин осуществляет выбор не чаще чем 1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14.4. Право реализуется путем подачи заявления лично или через своего представителя на имя руководителя медицинской организации, а также при условии согласия выбранного врача.</w:t>
      </w:r>
    </w:p>
    <w:p>
      <w:pPr>
        <w:pStyle w:val="5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14.5. Порядок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соответствии с Программой не по территориально-участковому принципу, установлен приказом Депздрава Югры.</w:t>
      </w:r>
    </w:p>
    <w:p>
      <w:bookmarkStart w:id="1" w:name="_GoBack"/>
      <w:bookmarkEnd w:id="1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F0BAC"/>
    <w:rsid w:val="160F0BAC"/>
    <w:rsid w:val="76C7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      ConsPlusTitle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SimSun" w:cs="Times New Roman"/>
      <w:b/>
      <w:sz w:val="20"/>
      <w:szCs w:val="24"/>
    </w:rPr>
  </w:style>
  <w:style w:type="paragraph" w:customStyle="1" w:styleId="5">
    <w:name w:val="       ConsPlusNormal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SimSun" w:cs="Times New Roman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2021-05-24T12:17:00Z</dcterms:created>
  <dc:creator>gerti</dc:creator>
  <cp:lastModifiedBy>gerti</cp:lastModifiedBy>
  <dcterms:modified xsi:type="dcterms:W3CDTF">2021-05-24T12:30:49Z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